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CE" w:rsidRPr="00466B47" w:rsidRDefault="007D64CE" w:rsidP="007D64C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66B4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6AF6E1" wp14:editId="318DFF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481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3" name="Picture 3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Solid Waste Fund</w:t>
      </w:r>
    </w:p>
    <w:p w:rsidR="007D64CE" w:rsidRPr="00FF3792" w:rsidRDefault="007D64CE" w:rsidP="007D64CE">
      <w:pPr>
        <w:pStyle w:val="NoSpacing"/>
        <w:jc w:val="center"/>
        <w:rPr>
          <w:b/>
          <w:sz w:val="28"/>
          <w:szCs w:val="28"/>
        </w:rPr>
      </w:pPr>
      <w:r w:rsidRPr="00FF3792">
        <w:rPr>
          <w:b/>
          <w:sz w:val="28"/>
          <w:szCs w:val="28"/>
        </w:rPr>
        <w:t>4070 Barnes Mill Road</w:t>
      </w:r>
    </w:p>
    <w:p w:rsidR="007D64CE" w:rsidRDefault="007D64CE" w:rsidP="007D64CE">
      <w:pPr>
        <w:pStyle w:val="NoSpacing"/>
        <w:jc w:val="center"/>
        <w:rPr>
          <w:b/>
          <w:sz w:val="28"/>
          <w:szCs w:val="28"/>
        </w:rPr>
      </w:pPr>
      <w:r w:rsidRPr="00FF3792">
        <w:rPr>
          <w:b/>
          <w:sz w:val="28"/>
          <w:szCs w:val="28"/>
        </w:rPr>
        <w:t>Hamilton, GA 31811</w:t>
      </w:r>
    </w:p>
    <w:p w:rsidR="007D64CE" w:rsidRPr="00FF3792" w:rsidRDefault="007D64CE" w:rsidP="007D64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582-2982</w:t>
      </w:r>
    </w:p>
    <w:p w:rsidR="007D64CE" w:rsidRPr="00466B47" w:rsidRDefault="007D64CE" w:rsidP="007D64CE">
      <w:pPr>
        <w:pStyle w:val="NoSpacing"/>
        <w:jc w:val="center"/>
        <w:rPr>
          <w:b/>
        </w:rPr>
      </w:pPr>
    </w:p>
    <w:p w:rsidR="007D64CE" w:rsidRDefault="007D64CE" w:rsidP="007D64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Convenience Centers and Transfer Station</w:t>
      </w:r>
    </w:p>
    <w:p w:rsidR="007D64CE" w:rsidRDefault="007D64CE" w:rsidP="007D64CE">
      <w:pPr>
        <w:pStyle w:val="NoSpacing"/>
        <w:ind w:left="2160" w:firstLine="720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     Fee Schedule</w:t>
      </w:r>
    </w:p>
    <w:p w:rsidR="007D64CE" w:rsidRDefault="007D64CE" w:rsidP="007D64CE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4410"/>
        <w:gridCol w:w="3060"/>
      </w:tblGrid>
      <w:tr w:rsidR="007D64CE" w:rsidRPr="00466B47" w:rsidTr="004D2BB7">
        <w:tc>
          <w:tcPr>
            <w:tcW w:w="2065" w:type="dxa"/>
            <w:shd w:val="clear" w:color="auto" w:fill="D9D9D9" w:themeFill="background1" w:themeFillShade="D9"/>
          </w:tcPr>
          <w:p w:rsidR="007D64CE" w:rsidRPr="00466B47" w:rsidRDefault="007D64CE" w:rsidP="004D2BB7">
            <w:pPr>
              <w:jc w:val="center"/>
              <w:rPr>
                <w:rFonts w:cs="Arial"/>
                <w:b/>
              </w:rPr>
            </w:pPr>
            <w:r w:rsidRPr="00466B47">
              <w:rPr>
                <w:rFonts w:cs="Arial"/>
                <w:b/>
              </w:rPr>
              <w:t>Garbage Type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D64CE" w:rsidRPr="00466B47" w:rsidRDefault="007D64CE" w:rsidP="004D2BB7">
            <w:pPr>
              <w:jc w:val="center"/>
              <w:rPr>
                <w:rFonts w:cs="Arial"/>
                <w:b/>
              </w:rPr>
            </w:pPr>
            <w:r w:rsidRPr="00466B47">
              <w:rPr>
                <w:rFonts w:cs="Arial"/>
                <w:b/>
              </w:rPr>
              <w:t>Definition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64CE" w:rsidRPr="00466B47" w:rsidRDefault="007D64CE" w:rsidP="004D2BB7">
            <w:pPr>
              <w:jc w:val="center"/>
              <w:rPr>
                <w:rFonts w:cs="Arial"/>
                <w:b/>
              </w:rPr>
            </w:pPr>
            <w:r w:rsidRPr="00466B47">
              <w:rPr>
                <w:rFonts w:cs="Arial"/>
                <w:b/>
              </w:rPr>
              <w:t>Customer / Price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Household</w:t>
            </w:r>
          </w:p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Waste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Animal and vegetable matter used for food, rags, wood, ashes, cans, paper, glass, plastic, furniture, mattresses, bed springs.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– no charge.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$45.60 per ton.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White Goods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Washing machines, dryers, stoves, refrigerators, freezers, air conditioners, bicycles and other metals.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– no charge.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$45.60 per ton.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Yard Waste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Bushes, tree trimmings, limbs under 9 inches in diameter.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– no charge.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$18.00 per ton.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Inert Waste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 xml:space="preserve">Dirt, tree stumps, concrete with no metal, cured asphalt, rocks, bricks, grass clippings, weeds, leaves.  Must be clean with no other household waste or trash mixed in. 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– no charge.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$18.00 per ton.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Mixed inert waste - $45.60 per ton.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Construction &amp; Demolition Material</w:t>
            </w:r>
          </w:p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(accepted only at Transfer Station)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Waste building materials and from new construction, demolition materials from repairs to house and other buildings, wood, metal, carpets, cabinets, wallboard, paper, cardboard and mixed inert waste not clean.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- $45.60 per ton.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$45.60 per ton.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Animal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 xml:space="preserve">Whole or parts of dogs, cats, other small animals including deer. No cows, horses, or large animals will be accepted. 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- no charge.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$45.60 per ton.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Batteries</w:t>
            </w:r>
          </w:p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(accepted only at Transfer Station)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Vehicle batteries.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</w:t>
            </w:r>
            <w:r>
              <w:rPr>
                <w:rFonts w:cs="Arial"/>
              </w:rPr>
              <w:t xml:space="preserve"> including city residents - $2.5</w:t>
            </w:r>
            <w:r w:rsidRPr="00466B47">
              <w:rPr>
                <w:rFonts w:cs="Arial"/>
              </w:rPr>
              <w:t>0 per battery.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Commercial - $2.5</w:t>
            </w:r>
            <w:r w:rsidRPr="00466B47">
              <w:rPr>
                <w:rFonts w:cs="Arial"/>
              </w:rPr>
              <w:t>0 per battery.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Tires</w:t>
            </w:r>
          </w:p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17 inches and under</w:t>
            </w:r>
          </w:p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(accepted only at Transfer Station)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 xml:space="preserve">Vehicle tires. No farm tractor tires will be accepted. 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- $1.00 per tire.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$1.00 per tire.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Tires</w:t>
            </w:r>
          </w:p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18 inches to 24 inches</w:t>
            </w:r>
          </w:p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(accepted only at Transfer Station)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Vehicle tires. No farm tractor tires will be accepted.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County residents including city residents - $3.00 per tire.</w:t>
            </w:r>
          </w:p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Commercial - $3.00 per tire.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Recyclable Materials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Newspapers, magazines, tin and aluminum cans.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No charge.</w:t>
            </w:r>
          </w:p>
        </w:tc>
      </w:tr>
      <w:tr w:rsidR="007D64CE" w:rsidRPr="00466B47" w:rsidTr="004D2BB7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 w:rsidRPr="00466B47">
              <w:rPr>
                <w:rFonts w:cs="Arial"/>
              </w:rPr>
              <w:t>Hazardous Waste</w:t>
            </w:r>
          </w:p>
        </w:tc>
        <w:tc>
          <w:tcPr>
            <w:tcW w:w="441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 w:rsidRPr="00466B47">
              <w:rPr>
                <w:rFonts w:cs="Arial"/>
              </w:rPr>
              <w:t>No hazardous waste is accepted including insecticides, pesticides, herbicides,</w:t>
            </w:r>
            <w:r w:rsidR="00FA5BF6">
              <w:rPr>
                <w:rFonts w:cs="Arial"/>
              </w:rPr>
              <w:t xml:space="preserve"> liquid</w:t>
            </w:r>
            <w:r w:rsidRPr="00466B47">
              <w:rPr>
                <w:rFonts w:cs="Arial"/>
              </w:rPr>
              <w:t xml:space="preserve"> paint, </w:t>
            </w:r>
            <w:r w:rsidR="00FA5BF6">
              <w:rPr>
                <w:rFonts w:cs="Arial"/>
              </w:rPr>
              <w:t xml:space="preserve">or </w:t>
            </w:r>
            <w:r w:rsidRPr="00466B47">
              <w:rPr>
                <w:rFonts w:cs="Arial"/>
              </w:rPr>
              <w:t xml:space="preserve">paint thinners. </w:t>
            </w:r>
            <w:r w:rsidR="00FA5BF6">
              <w:rPr>
                <w:rFonts w:cs="Arial"/>
              </w:rPr>
              <w:t xml:space="preserve">Liquid paint will be accepted if mixed with sand, kitty litter, or sawdust and dried in the can. </w:t>
            </w:r>
          </w:p>
        </w:tc>
        <w:tc>
          <w:tcPr>
            <w:tcW w:w="3060" w:type="dxa"/>
          </w:tcPr>
          <w:p w:rsidR="007D64CE" w:rsidRPr="00466B47" w:rsidRDefault="007D64CE" w:rsidP="004D2BB7">
            <w:pPr>
              <w:rPr>
                <w:rFonts w:cs="Arial"/>
              </w:rPr>
            </w:pPr>
            <w:r w:rsidRPr="00466B47">
              <w:rPr>
                <w:rFonts w:cs="Arial"/>
              </w:rPr>
              <w:t>N/A</w:t>
            </w:r>
          </w:p>
        </w:tc>
      </w:tr>
    </w:tbl>
    <w:p w:rsidR="007D64CE" w:rsidRPr="00466B47" w:rsidRDefault="007D64CE" w:rsidP="007D64CE">
      <w:pPr>
        <w:pStyle w:val="NoSpacing"/>
        <w:jc w:val="center"/>
        <w:rPr>
          <w:b/>
          <w:sz w:val="28"/>
          <w:szCs w:val="28"/>
        </w:rPr>
      </w:pPr>
      <w:r w:rsidRPr="00466B47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F99B681" wp14:editId="36FB44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481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4" name="Picture 4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Solid Waste Fund</w:t>
      </w:r>
    </w:p>
    <w:p w:rsidR="007D64CE" w:rsidRPr="00FF3792" w:rsidRDefault="007D64CE" w:rsidP="007D64CE">
      <w:pPr>
        <w:pStyle w:val="NoSpacing"/>
        <w:jc w:val="center"/>
        <w:rPr>
          <w:b/>
          <w:sz w:val="28"/>
          <w:szCs w:val="28"/>
        </w:rPr>
      </w:pPr>
      <w:r w:rsidRPr="00FF3792">
        <w:rPr>
          <w:b/>
          <w:sz w:val="28"/>
          <w:szCs w:val="28"/>
        </w:rPr>
        <w:t>4070 Barnes Mill Road</w:t>
      </w:r>
    </w:p>
    <w:p w:rsidR="007D64CE" w:rsidRDefault="007D64CE" w:rsidP="007D64CE">
      <w:pPr>
        <w:pStyle w:val="NoSpacing"/>
        <w:jc w:val="center"/>
        <w:rPr>
          <w:b/>
          <w:sz w:val="28"/>
          <w:szCs w:val="28"/>
        </w:rPr>
      </w:pPr>
      <w:r w:rsidRPr="00FF3792">
        <w:rPr>
          <w:b/>
          <w:sz w:val="28"/>
          <w:szCs w:val="28"/>
        </w:rPr>
        <w:t>Hamilton, GA 31811</w:t>
      </w:r>
    </w:p>
    <w:p w:rsidR="007D64CE" w:rsidRDefault="007D64CE" w:rsidP="007D64CE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(706) 582-2982</w:t>
      </w:r>
    </w:p>
    <w:p w:rsidR="007D64CE" w:rsidRDefault="007D64CE" w:rsidP="007D64CE">
      <w:pPr>
        <w:pStyle w:val="NoSpacing"/>
        <w:jc w:val="center"/>
        <w:rPr>
          <w:b/>
          <w:sz w:val="28"/>
          <w:szCs w:val="28"/>
        </w:rPr>
      </w:pPr>
    </w:p>
    <w:p w:rsidR="007D64CE" w:rsidRDefault="007D64CE" w:rsidP="007D64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Single &amp; Multi-Family Dwellings</w:t>
      </w:r>
    </w:p>
    <w:p w:rsidR="007D64CE" w:rsidRDefault="007D64CE" w:rsidP="007D64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 Schedule</w:t>
      </w:r>
    </w:p>
    <w:p w:rsidR="007D64CE" w:rsidRDefault="007D64CE" w:rsidP="007D64CE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4770"/>
        <w:gridCol w:w="2700"/>
      </w:tblGrid>
      <w:tr w:rsidR="007D64CE" w:rsidRPr="00466B47" w:rsidTr="003E0B98">
        <w:tc>
          <w:tcPr>
            <w:tcW w:w="2065" w:type="dxa"/>
            <w:shd w:val="clear" w:color="auto" w:fill="D9D9D9" w:themeFill="background1" w:themeFillShade="D9"/>
          </w:tcPr>
          <w:p w:rsidR="007D64CE" w:rsidRPr="00466B47" w:rsidRDefault="007D64CE" w:rsidP="004D2B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Dwelling </w:t>
            </w:r>
            <w:r w:rsidRPr="00466B47">
              <w:rPr>
                <w:rFonts w:cs="Arial"/>
                <w:b/>
              </w:rPr>
              <w:t>Type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D64CE" w:rsidRPr="00466B47" w:rsidRDefault="007D64CE" w:rsidP="004D2BB7">
            <w:pPr>
              <w:jc w:val="center"/>
              <w:rPr>
                <w:rFonts w:cs="Arial"/>
                <w:b/>
              </w:rPr>
            </w:pPr>
            <w:r w:rsidRPr="00466B47">
              <w:rPr>
                <w:rFonts w:cs="Arial"/>
                <w:b/>
              </w:rPr>
              <w:t>Definition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D64CE" w:rsidRPr="00466B47" w:rsidRDefault="007D64CE" w:rsidP="004D2BB7">
            <w:pPr>
              <w:jc w:val="center"/>
              <w:rPr>
                <w:rFonts w:cs="Arial"/>
                <w:b/>
              </w:rPr>
            </w:pPr>
            <w:r w:rsidRPr="00466B47">
              <w:rPr>
                <w:rFonts w:cs="Arial"/>
                <w:b/>
              </w:rPr>
              <w:t>Price</w:t>
            </w:r>
          </w:p>
        </w:tc>
      </w:tr>
      <w:tr w:rsidR="007D64CE" w:rsidRPr="00466B47" w:rsidTr="003E0B98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Single Family</w:t>
            </w:r>
          </w:p>
        </w:tc>
        <w:tc>
          <w:tcPr>
            <w:tcW w:w="477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Incorporated and unincorporated area</w:t>
            </w:r>
            <w:r w:rsidR="003E0B98">
              <w:rPr>
                <w:rFonts w:cs="Arial"/>
              </w:rPr>
              <w:t xml:space="preserve"> (per unit)</w:t>
            </w:r>
          </w:p>
        </w:tc>
        <w:tc>
          <w:tcPr>
            <w:tcW w:w="2700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$149 per year on tax bill</w:t>
            </w:r>
          </w:p>
        </w:tc>
      </w:tr>
      <w:tr w:rsidR="007D64CE" w:rsidRPr="00466B47" w:rsidTr="003E0B98">
        <w:tc>
          <w:tcPr>
            <w:tcW w:w="2065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Multi-Family</w:t>
            </w:r>
          </w:p>
        </w:tc>
        <w:tc>
          <w:tcPr>
            <w:tcW w:w="4770" w:type="dxa"/>
          </w:tcPr>
          <w:p w:rsidR="007D64CE" w:rsidRPr="00466B47" w:rsidRDefault="007D64CE" w:rsidP="004D2B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Apartments, manufactured home parks</w:t>
            </w:r>
            <w:r w:rsidR="003E0B98">
              <w:rPr>
                <w:rFonts w:cs="Arial"/>
              </w:rPr>
              <w:t xml:space="preserve"> (per unit)</w:t>
            </w:r>
          </w:p>
        </w:tc>
        <w:tc>
          <w:tcPr>
            <w:tcW w:w="2700" w:type="dxa"/>
          </w:tcPr>
          <w:p w:rsidR="007D64CE" w:rsidRPr="00466B47" w:rsidRDefault="007D64CE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$149 per year on tax bill</w:t>
            </w:r>
          </w:p>
        </w:tc>
      </w:tr>
      <w:tr w:rsidR="009216BD" w:rsidRPr="00466B47" w:rsidTr="003E0B98">
        <w:tc>
          <w:tcPr>
            <w:tcW w:w="2065" w:type="dxa"/>
          </w:tcPr>
          <w:p w:rsidR="009216BD" w:rsidRDefault="003E0B98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Commercial/ Institutional/ Industrial Establishments</w:t>
            </w:r>
          </w:p>
        </w:tc>
        <w:tc>
          <w:tcPr>
            <w:tcW w:w="4770" w:type="dxa"/>
          </w:tcPr>
          <w:p w:rsidR="009216BD" w:rsidRDefault="003E0B98" w:rsidP="004D2B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(six or less 33</w:t>
            </w:r>
            <w:r w:rsidR="00180452">
              <w:rPr>
                <w:rFonts w:cs="Arial"/>
              </w:rPr>
              <w:t>-</w:t>
            </w:r>
            <w:r>
              <w:rPr>
                <w:rFonts w:cs="Arial"/>
              </w:rPr>
              <w:t>gallon containers</w:t>
            </w:r>
            <w:r w:rsidR="00180452">
              <w:rPr>
                <w:rFonts w:cs="Arial"/>
              </w:rPr>
              <w:t xml:space="preserve"> per business</w:t>
            </w:r>
            <w:r>
              <w:rPr>
                <w:rFonts w:cs="Arial"/>
              </w:rPr>
              <w:t xml:space="preserve">). If more than 6 containers, contract with private vendor. </w:t>
            </w:r>
          </w:p>
        </w:tc>
        <w:tc>
          <w:tcPr>
            <w:tcW w:w="2700" w:type="dxa"/>
          </w:tcPr>
          <w:p w:rsidR="009216BD" w:rsidRDefault="003E0B98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$149 per year on tax bill</w:t>
            </w:r>
          </w:p>
        </w:tc>
      </w:tr>
      <w:tr w:rsidR="00FC6EB0" w:rsidRPr="00466B47" w:rsidTr="00FC6EB0">
        <w:tc>
          <w:tcPr>
            <w:tcW w:w="9535" w:type="dxa"/>
            <w:gridSpan w:val="3"/>
            <w:shd w:val="clear" w:color="auto" w:fill="D9D9D9" w:themeFill="background1" w:themeFillShade="D9"/>
          </w:tcPr>
          <w:p w:rsidR="00FC6EB0" w:rsidRPr="00FC6EB0" w:rsidRDefault="00FC6EB0" w:rsidP="00FC6EB0">
            <w:pPr>
              <w:rPr>
                <w:rFonts w:cs="Arial"/>
                <w:b/>
              </w:rPr>
            </w:pPr>
            <w:r w:rsidRPr="00FC6EB0">
              <w:rPr>
                <w:rFonts w:cs="Arial"/>
                <w:b/>
              </w:rPr>
              <w:t>Other Fees</w:t>
            </w:r>
          </w:p>
        </w:tc>
      </w:tr>
      <w:tr w:rsidR="007B53BC" w:rsidRPr="00466B47" w:rsidTr="00DF2D28">
        <w:tc>
          <w:tcPr>
            <w:tcW w:w="2065" w:type="dxa"/>
          </w:tcPr>
          <w:p w:rsidR="007B53BC" w:rsidRDefault="007B53BC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Credit Card Fee</w:t>
            </w:r>
          </w:p>
        </w:tc>
        <w:tc>
          <w:tcPr>
            <w:tcW w:w="7470" w:type="dxa"/>
            <w:gridSpan w:val="2"/>
          </w:tcPr>
          <w:p w:rsidR="007B53BC" w:rsidRDefault="0094519D" w:rsidP="004D2BB7">
            <w:pPr>
              <w:jc w:val="center"/>
              <w:rPr>
                <w:rFonts w:cs="Arial"/>
              </w:rPr>
            </w:pPr>
            <w:r>
              <w:t xml:space="preserve">$3 minimum fee for the first $100 or 3% of the total if over $100 or </w:t>
            </w:r>
            <w:r w:rsidR="00180452">
              <w:rPr>
                <w:rFonts w:cs="Arial"/>
              </w:rPr>
              <w:t>Tax Commissioner’s fee, whichever is applicable</w:t>
            </w:r>
          </w:p>
        </w:tc>
      </w:tr>
      <w:tr w:rsidR="007B53BC" w:rsidRPr="00466B47" w:rsidTr="0076598D">
        <w:tc>
          <w:tcPr>
            <w:tcW w:w="2065" w:type="dxa"/>
          </w:tcPr>
          <w:p w:rsidR="007B53BC" w:rsidRDefault="007B53BC" w:rsidP="004D2B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Return Check Fee</w:t>
            </w:r>
          </w:p>
        </w:tc>
        <w:tc>
          <w:tcPr>
            <w:tcW w:w="7470" w:type="dxa"/>
            <w:gridSpan w:val="2"/>
          </w:tcPr>
          <w:p w:rsidR="007B53BC" w:rsidRDefault="007B53BC" w:rsidP="004D2BB7">
            <w:pPr>
              <w:jc w:val="center"/>
              <w:rPr>
                <w:rFonts w:cs="Arial"/>
              </w:rPr>
            </w:pPr>
            <w:r>
              <w:t xml:space="preserve">$30 or 5% of total amount </w:t>
            </w:r>
            <w:r w:rsidR="00E661F6">
              <w:t>whichever is greater</w:t>
            </w:r>
          </w:p>
        </w:tc>
      </w:tr>
    </w:tbl>
    <w:p w:rsidR="007D64CE" w:rsidRDefault="007D64CE" w:rsidP="007D64CE">
      <w:pPr>
        <w:pStyle w:val="NoSpacing"/>
        <w:jc w:val="center"/>
        <w:rPr>
          <w:rFonts w:cs="Arial"/>
          <w:b/>
        </w:rPr>
      </w:pPr>
    </w:p>
    <w:p w:rsidR="009954E3" w:rsidRDefault="009954E3" w:rsidP="007D64CE">
      <w:pPr>
        <w:pStyle w:val="NoSpacing"/>
        <w:jc w:val="center"/>
        <w:rPr>
          <w:rFonts w:cs="Arial"/>
          <w:b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329"/>
        <w:gridCol w:w="1262"/>
        <w:gridCol w:w="1369"/>
        <w:gridCol w:w="1416"/>
        <w:gridCol w:w="1464"/>
        <w:gridCol w:w="1440"/>
        <w:gridCol w:w="1350"/>
      </w:tblGrid>
      <w:tr w:rsidR="009954E3" w:rsidRPr="00783ECA" w:rsidTr="00E330C2">
        <w:tc>
          <w:tcPr>
            <w:tcW w:w="9630" w:type="dxa"/>
            <w:gridSpan w:val="7"/>
            <w:shd w:val="clear" w:color="auto" w:fill="D9D9D9" w:themeFill="background1" w:themeFillShade="D9"/>
          </w:tcPr>
          <w:p w:rsidR="009954E3" w:rsidRPr="00783ECA" w:rsidRDefault="009954E3" w:rsidP="00DF0E67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Convenience Centers (Harrisville, Hamilton, and Cataula) </w:t>
            </w:r>
            <w:r w:rsidRPr="00783ECA">
              <w:rPr>
                <w:rFonts w:cs="Arial"/>
                <w:b/>
              </w:rPr>
              <w:t>Hours of Operation</w:t>
            </w:r>
          </w:p>
        </w:tc>
      </w:tr>
      <w:tr w:rsidR="009954E3" w:rsidTr="00E330C2">
        <w:tc>
          <w:tcPr>
            <w:tcW w:w="1329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1262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369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Tuesday</w:t>
            </w:r>
          </w:p>
        </w:tc>
        <w:tc>
          <w:tcPr>
            <w:tcW w:w="1416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1464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Thursday</w:t>
            </w:r>
          </w:p>
        </w:tc>
        <w:tc>
          <w:tcPr>
            <w:tcW w:w="1440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Friday</w:t>
            </w:r>
          </w:p>
        </w:tc>
        <w:tc>
          <w:tcPr>
            <w:tcW w:w="1350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Saturday</w:t>
            </w:r>
          </w:p>
        </w:tc>
      </w:tr>
      <w:tr w:rsidR="009954E3" w:rsidRPr="00783ECA" w:rsidTr="00E330C2">
        <w:tc>
          <w:tcPr>
            <w:tcW w:w="1329" w:type="dxa"/>
          </w:tcPr>
          <w:p w:rsidR="009954E3" w:rsidRPr="00783ECA" w:rsidRDefault="009954E3" w:rsidP="009954E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am to 5 pm</w:t>
            </w:r>
          </w:p>
        </w:tc>
        <w:tc>
          <w:tcPr>
            <w:tcW w:w="1262" w:type="dxa"/>
          </w:tcPr>
          <w:p w:rsidR="009954E3" w:rsidRPr="00783ECA" w:rsidRDefault="009954E3" w:rsidP="00DF0E6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am to 5 pm</w:t>
            </w:r>
          </w:p>
        </w:tc>
        <w:tc>
          <w:tcPr>
            <w:tcW w:w="1369" w:type="dxa"/>
          </w:tcPr>
          <w:p w:rsidR="009954E3" w:rsidRPr="00783ECA" w:rsidRDefault="009954E3" w:rsidP="009954E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416" w:type="dxa"/>
          </w:tcPr>
          <w:p w:rsidR="009954E3" w:rsidRPr="00783ECA" w:rsidRDefault="009954E3" w:rsidP="009954E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464" w:type="dxa"/>
          </w:tcPr>
          <w:p w:rsidR="009954E3" w:rsidRPr="00783ECA" w:rsidRDefault="009954E3" w:rsidP="009954E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440" w:type="dxa"/>
          </w:tcPr>
          <w:p w:rsidR="009954E3" w:rsidRPr="00783ECA" w:rsidRDefault="009954E3" w:rsidP="00DF0E6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am to 5 pm</w:t>
            </w:r>
          </w:p>
        </w:tc>
        <w:tc>
          <w:tcPr>
            <w:tcW w:w="1350" w:type="dxa"/>
          </w:tcPr>
          <w:p w:rsidR="009954E3" w:rsidRPr="00783ECA" w:rsidRDefault="009954E3" w:rsidP="009954E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am to 5 pm</w:t>
            </w:r>
          </w:p>
        </w:tc>
      </w:tr>
    </w:tbl>
    <w:p w:rsidR="007D64CE" w:rsidRDefault="007D64CE" w:rsidP="007D64CE">
      <w:pPr>
        <w:pStyle w:val="NoSpacing"/>
        <w:jc w:val="center"/>
        <w:rPr>
          <w:rFonts w:cs="Arial"/>
          <w:b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329"/>
        <w:gridCol w:w="1262"/>
        <w:gridCol w:w="1369"/>
        <w:gridCol w:w="1416"/>
        <w:gridCol w:w="1464"/>
        <w:gridCol w:w="1440"/>
        <w:gridCol w:w="1350"/>
      </w:tblGrid>
      <w:tr w:rsidR="009954E3" w:rsidRPr="00783ECA" w:rsidTr="00E330C2">
        <w:tc>
          <w:tcPr>
            <w:tcW w:w="9630" w:type="dxa"/>
            <w:gridSpan w:val="7"/>
            <w:shd w:val="clear" w:color="auto" w:fill="D9D9D9" w:themeFill="background1" w:themeFillShade="D9"/>
          </w:tcPr>
          <w:p w:rsidR="009954E3" w:rsidRPr="00783ECA" w:rsidRDefault="009954E3" w:rsidP="00DF0E67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Transfer Station </w:t>
            </w:r>
            <w:r w:rsidRPr="00783ECA">
              <w:rPr>
                <w:rFonts w:cs="Arial"/>
                <w:b/>
              </w:rPr>
              <w:t>Hours of Operation</w:t>
            </w:r>
          </w:p>
        </w:tc>
      </w:tr>
      <w:tr w:rsidR="009954E3" w:rsidTr="00E330C2">
        <w:tc>
          <w:tcPr>
            <w:tcW w:w="1329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1262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369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Tuesday</w:t>
            </w:r>
          </w:p>
        </w:tc>
        <w:tc>
          <w:tcPr>
            <w:tcW w:w="1416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1464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Thursday</w:t>
            </w:r>
          </w:p>
        </w:tc>
        <w:tc>
          <w:tcPr>
            <w:tcW w:w="1440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Friday</w:t>
            </w:r>
          </w:p>
        </w:tc>
        <w:tc>
          <w:tcPr>
            <w:tcW w:w="1350" w:type="dxa"/>
          </w:tcPr>
          <w:p w:rsidR="009954E3" w:rsidRDefault="009954E3" w:rsidP="00DF0E6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Saturday</w:t>
            </w:r>
          </w:p>
        </w:tc>
      </w:tr>
      <w:tr w:rsidR="009954E3" w:rsidRPr="00783ECA" w:rsidTr="00E330C2">
        <w:tc>
          <w:tcPr>
            <w:tcW w:w="1329" w:type="dxa"/>
          </w:tcPr>
          <w:p w:rsidR="009954E3" w:rsidRPr="00783ECA" w:rsidRDefault="009954E3" w:rsidP="009954E3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262" w:type="dxa"/>
          </w:tcPr>
          <w:p w:rsidR="009954E3" w:rsidRPr="00783ECA" w:rsidRDefault="009954E3" w:rsidP="00DF0E6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am to 4 pm</w:t>
            </w:r>
          </w:p>
        </w:tc>
        <w:tc>
          <w:tcPr>
            <w:tcW w:w="1369" w:type="dxa"/>
          </w:tcPr>
          <w:p w:rsidR="009954E3" w:rsidRPr="00783ECA" w:rsidRDefault="009954E3" w:rsidP="00DF0E6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am to 4 pm</w:t>
            </w:r>
          </w:p>
        </w:tc>
        <w:tc>
          <w:tcPr>
            <w:tcW w:w="1416" w:type="dxa"/>
          </w:tcPr>
          <w:p w:rsidR="009954E3" w:rsidRPr="00783ECA" w:rsidRDefault="009954E3" w:rsidP="00DF0E6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am to 4 pm</w:t>
            </w:r>
          </w:p>
        </w:tc>
        <w:tc>
          <w:tcPr>
            <w:tcW w:w="1464" w:type="dxa"/>
          </w:tcPr>
          <w:p w:rsidR="009954E3" w:rsidRPr="00783ECA" w:rsidRDefault="009954E3" w:rsidP="00DF0E6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am to 4 pm</w:t>
            </w:r>
          </w:p>
        </w:tc>
        <w:tc>
          <w:tcPr>
            <w:tcW w:w="1440" w:type="dxa"/>
          </w:tcPr>
          <w:p w:rsidR="009954E3" w:rsidRPr="00783ECA" w:rsidRDefault="009954E3" w:rsidP="00DF0E6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am to 4 pm</w:t>
            </w:r>
          </w:p>
        </w:tc>
        <w:tc>
          <w:tcPr>
            <w:tcW w:w="1350" w:type="dxa"/>
          </w:tcPr>
          <w:p w:rsidR="009954E3" w:rsidRPr="00783ECA" w:rsidRDefault="009954E3" w:rsidP="00DF0E6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am to 4 pm</w:t>
            </w:r>
          </w:p>
        </w:tc>
      </w:tr>
    </w:tbl>
    <w:p w:rsidR="009954E3" w:rsidRDefault="009954E3" w:rsidP="007D64CE">
      <w:pPr>
        <w:pStyle w:val="NoSpacing"/>
        <w:jc w:val="center"/>
        <w:rPr>
          <w:rFonts w:cs="Arial"/>
          <w:b/>
        </w:rPr>
      </w:pPr>
    </w:p>
    <w:p w:rsidR="007D64CE" w:rsidRPr="00466B47" w:rsidRDefault="007D64CE" w:rsidP="007D64CE">
      <w:pPr>
        <w:pStyle w:val="NoSpacing"/>
        <w:jc w:val="center"/>
        <w:rPr>
          <w:rFonts w:cs="Arial"/>
          <w:b/>
        </w:rPr>
      </w:pPr>
      <w:r w:rsidRPr="00466B47">
        <w:rPr>
          <w:rFonts w:cs="Arial"/>
          <w:b/>
        </w:rPr>
        <w:t>GENERAL INFORMATION</w:t>
      </w:r>
    </w:p>
    <w:p w:rsidR="007D64CE" w:rsidRPr="00466B47" w:rsidRDefault="007D64CE" w:rsidP="007D64CE">
      <w:pPr>
        <w:pStyle w:val="NoSpacing"/>
        <w:jc w:val="center"/>
        <w:rPr>
          <w:rFonts w:cs="Arial"/>
          <w:b/>
        </w:rPr>
      </w:pPr>
    </w:p>
    <w:p w:rsidR="007D64CE" w:rsidRPr="00466B47" w:rsidRDefault="007D64CE" w:rsidP="007D64CE">
      <w:pPr>
        <w:pStyle w:val="NoSpacing"/>
        <w:numPr>
          <w:ilvl w:val="0"/>
          <w:numId w:val="1"/>
        </w:numPr>
        <w:ind w:left="360" w:right="-180"/>
        <w:jc w:val="both"/>
        <w:rPr>
          <w:rFonts w:cs="Arial"/>
        </w:rPr>
      </w:pPr>
      <w:r w:rsidRPr="00466B47">
        <w:rPr>
          <w:rFonts w:cs="Arial"/>
        </w:rPr>
        <w:t>Household garbage should be set out at the curb by 8:00 a.m. on the day of pick-up.</w:t>
      </w:r>
    </w:p>
    <w:p w:rsidR="007D64CE" w:rsidRPr="00466B47" w:rsidRDefault="007D64CE" w:rsidP="007D64CE">
      <w:pPr>
        <w:pStyle w:val="NoSpacing"/>
        <w:ind w:left="360" w:right="-180" w:hanging="360"/>
        <w:jc w:val="both"/>
        <w:rPr>
          <w:rFonts w:cs="Arial"/>
        </w:rPr>
      </w:pPr>
    </w:p>
    <w:p w:rsidR="007D64CE" w:rsidRPr="00466B47" w:rsidRDefault="007D64CE" w:rsidP="007D64CE">
      <w:pPr>
        <w:pStyle w:val="NoSpacing"/>
        <w:numPr>
          <w:ilvl w:val="0"/>
          <w:numId w:val="1"/>
        </w:numPr>
        <w:ind w:left="360" w:right="-180"/>
        <w:jc w:val="both"/>
        <w:rPr>
          <w:rFonts w:cs="Arial"/>
        </w:rPr>
      </w:pPr>
      <w:r w:rsidRPr="00466B47">
        <w:rPr>
          <w:rFonts w:cs="Arial"/>
        </w:rPr>
        <w:t>Hous</w:t>
      </w:r>
      <w:r w:rsidR="003E0B98">
        <w:rPr>
          <w:rFonts w:cs="Arial"/>
        </w:rPr>
        <w:t xml:space="preserve">ehold garbage containers shall </w:t>
      </w:r>
      <w:r w:rsidRPr="00466B47">
        <w:rPr>
          <w:rFonts w:cs="Arial"/>
        </w:rPr>
        <w:t>not be larger than 33 gallons and be made of plastic, galvanized iron, tin, or other suitable materials, have handles and tight-fitting lids. It is recommended that all household trash be bagged.</w:t>
      </w:r>
    </w:p>
    <w:p w:rsidR="007D64CE" w:rsidRPr="00466B47" w:rsidRDefault="007D64CE" w:rsidP="007D64CE">
      <w:pPr>
        <w:pStyle w:val="NoSpacing"/>
        <w:ind w:left="360" w:right="-180" w:hanging="360"/>
        <w:jc w:val="both"/>
        <w:rPr>
          <w:rFonts w:cs="Arial"/>
        </w:rPr>
      </w:pPr>
    </w:p>
    <w:p w:rsidR="007D64CE" w:rsidRDefault="007D64CE" w:rsidP="007D64CE">
      <w:pPr>
        <w:pStyle w:val="NoSpacing"/>
        <w:numPr>
          <w:ilvl w:val="0"/>
          <w:numId w:val="1"/>
        </w:numPr>
        <w:ind w:left="360" w:right="-180"/>
        <w:jc w:val="both"/>
        <w:rPr>
          <w:rFonts w:cs="Arial"/>
        </w:rPr>
      </w:pPr>
      <w:r w:rsidRPr="00466B47">
        <w:rPr>
          <w:rFonts w:cs="Arial"/>
        </w:rPr>
        <w:t xml:space="preserve">Curbside collection does not include bulky items such as white goods, furniture, mattresses, bicycles, yard waste, and construction and demolition materials. </w:t>
      </w:r>
    </w:p>
    <w:p w:rsidR="007D64CE" w:rsidRDefault="007D64CE" w:rsidP="007D64CE">
      <w:pPr>
        <w:pStyle w:val="ListParagraph"/>
        <w:rPr>
          <w:rFonts w:cs="Arial"/>
        </w:rPr>
      </w:pPr>
    </w:p>
    <w:p w:rsidR="007D64CE" w:rsidRDefault="00E24040" w:rsidP="00E24040">
      <w:pPr>
        <w:pStyle w:val="NoSpacing"/>
        <w:rPr>
          <w:rFonts w:ascii="Mistral" w:hAnsi="Mistral"/>
          <w:sz w:val="40"/>
          <w:szCs w:val="40"/>
        </w:rPr>
      </w:pPr>
      <w:r>
        <w:t xml:space="preserve">Solid Waste Director:   </w:t>
      </w:r>
      <w:r w:rsidRPr="00E24040">
        <w:rPr>
          <w:rFonts w:ascii="Mistral" w:hAnsi="Mistral"/>
          <w:sz w:val="40"/>
          <w:szCs w:val="40"/>
          <w:u w:val="single"/>
        </w:rPr>
        <w:t>Ronnie Duke</w:t>
      </w:r>
    </w:p>
    <w:p w:rsidR="00E24040" w:rsidRDefault="00E24040" w:rsidP="00E24040">
      <w:pPr>
        <w:pStyle w:val="NoSpacing"/>
      </w:pPr>
    </w:p>
    <w:p w:rsidR="007D64CE" w:rsidRDefault="0094519D" w:rsidP="007D64CE">
      <w:pPr>
        <w:pStyle w:val="NoSpacing"/>
      </w:pPr>
      <w:r>
        <w:t xml:space="preserve">Board approved on: </w:t>
      </w:r>
      <w:r w:rsidRPr="0094519D">
        <w:rPr>
          <w:u w:val="single"/>
        </w:rPr>
        <w:t>October 17, 2017</w:t>
      </w:r>
      <w:r>
        <w:tab/>
      </w:r>
      <w:r>
        <w:tab/>
      </w:r>
      <w:r>
        <w:tab/>
      </w:r>
      <w:r w:rsidR="00E24040">
        <w:tab/>
      </w:r>
      <w:r w:rsidR="00E24040">
        <w:tab/>
      </w:r>
      <w:r>
        <w:t xml:space="preserve">Effective Date: </w:t>
      </w:r>
      <w:r w:rsidRPr="0094519D">
        <w:rPr>
          <w:u w:val="single"/>
        </w:rPr>
        <w:t>January 1, 2018</w:t>
      </w:r>
    </w:p>
    <w:p w:rsidR="007D64CE" w:rsidRDefault="007D64CE" w:rsidP="007D64CE">
      <w:pPr>
        <w:pStyle w:val="NoSpacing"/>
      </w:pPr>
    </w:p>
    <w:p w:rsidR="007D64CE" w:rsidRDefault="007D64CE" w:rsidP="007D64CE">
      <w:pPr>
        <w:pStyle w:val="NoSpacing"/>
        <w:jc w:val="both"/>
        <w:rPr>
          <w:rFonts w:cs="Arial"/>
        </w:rPr>
      </w:pPr>
    </w:p>
    <w:p w:rsidR="006A133B" w:rsidRDefault="006A133B"/>
    <w:sectPr w:rsidR="006A133B" w:rsidSect="00FA5BF6"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43E"/>
    <w:multiLevelType w:val="hybridMultilevel"/>
    <w:tmpl w:val="745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CE"/>
    <w:rsid w:val="00180452"/>
    <w:rsid w:val="003E0B98"/>
    <w:rsid w:val="005C5E9A"/>
    <w:rsid w:val="006A133B"/>
    <w:rsid w:val="007B53BC"/>
    <w:rsid w:val="007D64CE"/>
    <w:rsid w:val="009216BD"/>
    <w:rsid w:val="0094519D"/>
    <w:rsid w:val="009954E3"/>
    <w:rsid w:val="00C81FB2"/>
    <w:rsid w:val="00E24040"/>
    <w:rsid w:val="00E330C2"/>
    <w:rsid w:val="00E661F6"/>
    <w:rsid w:val="00FA5BF6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DF00F-A91E-4118-9D1D-315B8139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4CE"/>
    <w:pPr>
      <w:spacing w:after="0" w:line="240" w:lineRule="auto"/>
    </w:pPr>
  </w:style>
  <w:style w:type="table" w:styleId="TableGrid">
    <w:name w:val="Table Grid"/>
    <w:basedOn w:val="TableNormal"/>
    <w:uiPriority w:val="39"/>
    <w:rsid w:val="007D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21A3-B72E-4D97-9B0E-902B12ED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Kris</cp:lastModifiedBy>
  <cp:revision>2</cp:revision>
  <dcterms:created xsi:type="dcterms:W3CDTF">2017-11-03T14:49:00Z</dcterms:created>
  <dcterms:modified xsi:type="dcterms:W3CDTF">2017-11-03T14:49:00Z</dcterms:modified>
</cp:coreProperties>
</file>